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83"/>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7"/>
        <w:gridCol w:w="4959"/>
      </w:tblGrid>
      <w:tr w:rsidR="00590183" w:rsidRPr="00590183" w:rsidTr="00591B75">
        <w:trPr>
          <w:trHeight w:val="1879"/>
        </w:trPr>
        <w:tc>
          <w:tcPr>
            <w:tcW w:w="5077" w:type="dxa"/>
          </w:tcPr>
          <w:p w:rsidR="00590183" w:rsidRPr="00590183" w:rsidRDefault="00590183" w:rsidP="00591B75">
            <w:pPr>
              <w:jc w:val="center"/>
            </w:pPr>
            <w:r w:rsidRPr="00590183">
              <w:t>TỈNH ĐOÀN BÌNH PHƯỚC</w:t>
            </w:r>
          </w:p>
          <w:p w:rsidR="00590183" w:rsidRPr="00590183" w:rsidRDefault="00590183" w:rsidP="00591B75">
            <w:pPr>
              <w:jc w:val="center"/>
              <w:rPr>
                <w:b/>
              </w:rPr>
            </w:pPr>
            <w:r w:rsidRPr="00590183">
              <w:rPr>
                <w:b/>
              </w:rPr>
              <w:t>BCH ĐOÀN HUYỆN BÙ ĐĂNG</w:t>
            </w:r>
          </w:p>
          <w:p w:rsidR="00590183" w:rsidRPr="00590183" w:rsidRDefault="00590183" w:rsidP="00591B75">
            <w:pPr>
              <w:jc w:val="center"/>
              <w:rPr>
                <w:b/>
              </w:rPr>
            </w:pPr>
            <w:r w:rsidRPr="00590183">
              <w:rPr>
                <w:b/>
              </w:rPr>
              <w:t>***</w:t>
            </w:r>
          </w:p>
          <w:p w:rsidR="00590183" w:rsidRPr="00590183" w:rsidRDefault="00590183" w:rsidP="00591B75">
            <w:pPr>
              <w:jc w:val="center"/>
            </w:pPr>
            <w:r w:rsidRPr="00590183">
              <w:t xml:space="preserve">Số: </w:t>
            </w:r>
            <w:r w:rsidR="00591B75">
              <w:t>5</w:t>
            </w:r>
            <w:r>
              <w:t>6</w:t>
            </w:r>
            <w:r w:rsidR="00B1710A">
              <w:t xml:space="preserve"> </w:t>
            </w:r>
            <w:r w:rsidRPr="00590183">
              <w:t>-</w:t>
            </w:r>
            <w:r w:rsidR="00B1710A">
              <w:t xml:space="preserve"> </w:t>
            </w:r>
            <w:r w:rsidRPr="00590183">
              <w:t>CV/HĐTN</w:t>
            </w:r>
          </w:p>
          <w:p w:rsidR="00591B75" w:rsidRDefault="00590183" w:rsidP="00591B75">
            <w:pPr>
              <w:jc w:val="center"/>
              <w:rPr>
                <w:rFonts w:eastAsia="Times New Roman" w:cs="Times New Roman"/>
                <w:i/>
                <w:sz w:val="26"/>
                <w:szCs w:val="26"/>
              </w:rPr>
            </w:pPr>
            <w:r w:rsidRPr="00590183">
              <w:rPr>
                <w:rFonts w:eastAsia="Times New Roman" w:cs="Times New Roman"/>
                <w:i/>
                <w:sz w:val="26"/>
                <w:szCs w:val="26"/>
                <w:lang w:val="vi-VN"/>
              </w:rPr>
              <w:t>“</w:t>
            </w:r>
            <w:r w:rsidRPr="00590183">
              <w:rPr>
                <w:rFonts w:eastAsia="Times New Roman" w:cs="Times New Roman"/>
                <w:i/>
                <w:sz w:val="26"/>
                <w:szCs w:val="26"/>
              </w:rPr>
              <w:t>V/v</w:t>
            </w:r>
            <w:r>
              <w:rPr>
                <w:rFonts w:eastAsia="Times New Roman" w:cs="Times New Roman"/>
                <w:i/>
                <w:sz w:val="26"/>
                <w:szCs w:val="26"/>
              </w:rPr>
              <w:t xml:space="preserve"> Tiếp tục đẩy mạnh triển khai, </w:t>
            </w:r>
          </w:p>
          <w:p w:rsidR="00590183" w:rsidRDefault="00590183" w:rsidP="00591B75">
            <w:pPr>
              <w:jc w:val="center"/>
              <w:rPr>
                <w:rFonts w:eastAsia="Times New Roman" w:cs="Times New Roman"/>
                <w:i/>
                <w:sz w:val="26"/>
                <w:szCs w:val="26"/>
              </w:rPr>
            </w:pPr>
            <w:r>
              <w:rPr>
                <w:rFonts w:eastAsia="Times New Roman" w:cs="Times New Roman"/>
                <w:i/>
                <w:sz w:val="26"/>
                <w:szCs w:val="26"/>
              </w:rPr>
              <w:t>tuyên truyền cài đặt ứng dụng Bluezone</w:t>
            </w:r>
            <w:r w:rsidRPr="00590183">
              <w:rPr>
                <w:rFonts w:eastAsia="Times New Roman" w:cs="Times New Roman"/>
                <w:i/>
                <w:sz w:val="26"/>
                <w:szCs w:val="26"/>
              </w:rPr>
              <w:t>”</w:t>
            </w:r>
          </w:p>
          <w:p w:rsidR="00590183" w:rsidRPr="00590183" w:rsidRDefault="00590183" w:rsidP="00591B75">
            <w:pPr>
              <w:jc w:val="center"/>
              <w:rPr>
                <w:rFonts w:eastAsia="Times New Roman" w:cs="Times New Roman"/>
                <w:i/>
                <w:sz w:val="26"/>
                <w:szCs w:val="26"/>
              </w:rPr>
            </w:pPr>
          </w:p>
          <w:p w:rsidR="00590183" w:rsidRPr="00590183" w:rsidRDefault="00590183" w:rsidP="00591B75">
            <w:pPr>
              <w:rPr>
                <w:b/>
              </w:rPr>
            </w:pPr>
          </w:p>
        </w:tc>
        <w:tc>
          <w:tcPr>
            <w:tcW w:w="4959" w:type="dxa"/>
          </w:tcPr>
          <w:p w:rsidR="00590183" w:rsidRPr="00590183" w:rsidRDefault="00590183" w:rsidP="00591B75">
            <w:pPr>
              <w:jc w:val="right"/>
              <w:rPr>
                <w:b/>
                <w:u w:val="single"/>
              </w:rPr>
            </w:pPr>
            <w:r w:rsidRPr="00590183">
              <w:t xml:space="preserve">      </w:t>
            </w:r>
            <w:r w:rsidRPr="00590183">
              <w:rPr>
                <w:b/>
                <w:u w:val="single"/>
              </w:rPr>
              <w:t>ĐOÀN TNCS HỒ CHÍ MINH</w:t>
            </w:r>
          </w:p>
          <w:p w:rsidR="00590183" w:rsidRPr="00590183" w:rsidRDefault="00590183" w:rsidP="00591B75">
            <w:pPr>
              <w:jc w:val="right"/>
              <w:rPr>
                <w:b/>
                <w:u w:val="single"/>
              </w:rPr>
            </w:pPr>
          </w:p>
          <w:p w:rsidR="00590183" w:rsidRDefault="00590183" w:rsidP="00591B75">
            <w:pPr>
              <w:jc w:val="right"/>
              <w:rPr>
                <w:b/>
              </w:rPr>
            </w:pPr>
            <w:r w:rsidRPr="00590183">
              <w:rPr>
                <w:i/>
              </w:rPr>
              <w:t>Bù Đăng, ngày 18 tháng 09 năm 2020</w:t>
            </w:r>
          </w:p>
          <w:p w:rsidR="00590183" w:rsidRPr="00590183" w:rsidRDefault="00590183" w:rsidP="00591B75"/>
        </w:tc>
      </w:tr>
    </w:tbl>
    <w:p w:rsidR="008F5D3B" w:rsidRPr="00590183" w:rsidRDefault="00590183" w:rsidP="00591B75">
      <w:pPr>
        <w:jc w:val="center"/>
        <w:rPr>
          <w:b/>
          <w:szCs w:val="28"/>
        </w:rPr>
      </w:pPr>
      <w:r w:rsidRPr="00D02963">
        <w:rPr>
          <w:b/>
          <w:szCs w:val="28"/>
        </w:rPr>
        <w:t>Kính gửi:</w:t>
      </w:r>
      <w:r>
        <w:rPr>
          <w:b/>
          <w:szCs w:val="28"/>
        </w:rPr>
        <w:t xml:space="preserve"> Các cơ sở Đoàn và Đoàn trực thuộc;</w:t>
      </w:r>
    </w:p>
    <w:p w:rsidR="00590183" w:rsidRDefault="00FB5968" w:rsidP="008747C1">
      <w:pPr>
        <w:ind w:firstLine="720"/>
        <w:jc w:val="both"/>
      </w:pPr>
      <w:r>
        <w:t>Thực hiện Công văn số: 1435/UBND-VX ngày 4/9/2020 của UBND huyện Bù Đăng về việc “Triển khai, tuyên truyền, cài đặt ứng dụ</w:t>
      </w:r>
      <w:r w:rsidR="00590183">
        <w:t xml:space="preserve">ng Bluezone”; </w:t>
      </w:r>
    </w:p>
    <w:p w:rsidR="00591B75" w:rsidRDefault="00591B75" w:rsidP="00591B75">
      <w:pPr>
        <w:ind w:firstLine="720"/>
        <w:jc w:val="both"/>
        <w:rPr>
          <w:szCs w:val="28"/>
        </w:rPr>
      </w:pPr>
      <w:r>
        <w:rPr>
          <w:szCs w:val="28"/>
        </w:rPr>
        <w:t xml:space="preserve">Nhằm phát huy tinh thần xung kích, tình nguyện của thanh niên trong công tác tuyên truyền phòng, chống dịch Covid- 19 thông qua ứng dụng Bluezone, </w:t>
      </w:r>
      <w:r>
        <w:t xml:space="preserve">cùng chung tay </w:t>
      </w:r>
      <w:r>
        <w:t xml:space="preserve">với bà con nhân dân </w:t>
      </w:r>
      <w:r>
        <w:t>đẩy lùi dịch bệnh với tinh thần đoàn kết, không chủ quan</w:t>
      </w:r>
      <w:r>
        <w:t xml:space="preserve">, góp phần ổn định và phát triển tình hình kinh tế- xã hội tại địa phương; </w:t>
      </w:r>
    </w:p>
    <w:p w:rsidR="00590183" w:rsidRDefault="008D207A" w:rsidP="00590183">
      <w:pPr>
        <w:ind w:firstLine="720"/>
        <w:jc w:val="both"/>
      </w:pPr>
      <w:r>
        <w:t xml:space="preserve">Nay, </w:t>
      </w:r>
      <w:r w:rsidR="00FB5968">
        <w:t xml:space="preserve">BTV huyện Đoàn ban hành </w:t>
      </w:r>
      <w:r w:rsidR="008747C1">
        <w:t xml:space="preserve">công văn tiếp tục </w:t>
      </w:r>
      <w:r w:rsidR="00591B75">
        <w:t xml:space="preserve">đẩy mạnh </w:t>
      </w:r>
      <w:r w:rsidR="00FB5968">
        <w:t xml:space="preserve">triển khai, tuyên truyền </w:t>
      </w:r>
      <w:r w:rsidR="008747C1">
        <w:t>cài đặt ứng dụng Bluezone, nội dung cụ thể</w:t>
      </w:r>
      <w:r w:rsidR="00590183">
        <w:t xml:space="preserve"> như sau:</w:t>
      </w:r>
    </w:p>
    <w:p w:rsidR="00CD3BEC" w:rsidRDefault="00590183" w:rsidP="00CD3BEC">
      <w:pPr>
        <w:ind w:firstLine="720"/>
        <w:jc w:val="both"/>
      </w:pPr>
      <w:r>
        <w:t>1.</w:t>
      </w:r>
      <w:r w:rsidR="007B2B38">
        <w:t xml:space="preserve"> </w:t>
      </w:r>
      <w:r w:rsidR="00CD3BEC" w:rsidRPr="00CD3BEC">
        <w:t xml:space="preserve">Để bảo vệ cộng đồng trước đại dịch COVID-19, đưa cuộc sống trở lại bình thường. Bộ Thông tin và Truyền thông, Bộ Y tế dưới sự chỉ đạo của Thủ tướng Chính phủ đã triển khai “Ứng dụng phát hiện tiếp xúc gần Bluezone” trên smartphone. </w:t>
      </w:r>
      <w:r w:rsidR="00CD3BEC" w:rsidRPr="00CD3BEC">
        <w:t xml:space="preserve"> </w:t>
      </w:r>
      <w:r w:rsidR="00CD3BEC">
        <w:t>Bluezone là ứng dụng cảnh báo nếu bạn đã tiếp xúc gần với người nhiễm COVID-19, giảm thiểu nguy cơ lây lan trong cộng đồng, giúp mọi người trở lại cuộc sống bình thường. Khi có một ca nhiễm bệnh, lịch sử tiếp xúc trong ứng dụng cho biết bạn đã từng tiếp xúc với người này hay chưa nếu cả hai đều dùng Bluezone. Vì vậy, càng nhiều người cài đặt Bluezone thì hiệu quả bảo vệ càng cao.</w:t>
      </w:r>
      <w:r w:rsidR="00E552C1" w:rsidRPr="00E552C1">
        <w:t xml:space="preserve"> </w:t>
      </w:r>
    </w:p>
    <w:p w:rsidR="00590183" w:rsidRDefault="002F7726" w:rsidP="00590183">
      <w:pPr>
        <w:ind w:firstLine="720"/>
        <w:jc w:val="both"/>
      </w:pPr>
      <w:r>
        <w:t xml:space="preserve">2. </w:t>
      </w:r>
      <w:r w:rsidR="00590183">
        <w:t xml:space="preserve">BCH các cơ sở Đoàn và Đoàn trực thuộc truy cập địa chỉ </w:t>
      </w:r>
      <w:hyperlink r:id="rId6" w:history="1">
        <w:r w:rsidR="00590183" w:rsidRPr="00427B94">
          <w:rPr>
            <w:rStyle w:val="Hyperlink"/>
          </w:rPr>
          <w:t>https://bluezone.gov.vn/tai-lieu</w:t>
        </w:r>
      </w:hyperlink>
      <w:r w:rsidR="00590183">
        <w:t xml:space="preserve"> để tải các bộ tài liệu truyền thông</w:t>
      </w:r>
      <w:r w:rsidR="007B2B38">
        <w:t xml:space="preserve"> </w:t>
      </w:r>
      <w:r w:rsidR="0098413D">
        <w:t xml:space="preserve">chính thống bao </w:t>
      </w:r>
      <w:r w:rsidR="007B2B38">
        <w:t>gồm: video, tờ rơi, banner tuyên truyền, giới thiệu về ứng dụng, các câu hỏi thường gặp...</w:t>
      </w:r>
      <w:r w:rsidR="00590183">
        <w:t xml:space="preserve"> về ứng dụ</w:t>
      </w:r>
      <w:r w:rsidR="007B2B38">
        <w:t>ng B</w:t>
      </w:r>
      <w:r w:rsidR="00590183">
        <w:t xml:space="preserve">luezone để </w:t>
      </w:r>
      <w:r w:rsidR="007B2B38">
        <w:t xml:space="preserve">triển khai, </w:t>
      </w:r>
      <w:r w:rsidR="00590183">
        <w:t>tuyên truyền</w:t>
      </w:r>
      <w:r w:rsidR="0098413D">
        <w:t xml:space="preserve"> sao cho hiệu quả đến </w:t>
      </w:r>
      <w:r w:rsidR="00590183">
        <w:t>ĐVTN, bà con nhân dân.</w:t>
      </w:r>
    </w:p>
    <w:p w:rsidR="008D207A" w:rsidRDefault="00CD3BEC" w:rsidP="008D207A">
      <w:pPr>
        <w:ind w:firstLine="720"/>
        <w:jc w:val="both"/>
      </w:pPr>
      <w:r>
        <w:t>3</w:t>
      </w:r>
      <w:r w:rsidR="00590183">
        <w:t>.</w:t>
      </w:r>
      <w:r w:rsidR="007B2B38">
        <w:t xml:space="preserve"> </w:t>
      </w:r>
      <w:r w:rsidR="008D207A">
        <w:t>Tiếp tục c</w:t>
      </w:r>
      <w:r w:rsidR="0098413D">
        <w:t>hỉ đạo, hướng dẫn</w:t>
      </w:r>
      <w:r w:rsidR="008D207A">
        <w:t>, giám sát</w:t>
      </w:r>
      <w:r w:rsidR="0098413D">
        <w:t xml:space="preserve"> </w:t>
      </w:r>
      <w:r w:rsidR="00590183">
        <w:t xml:space="preserve">đội hình tình nguyện tại </w:t>
      </w:r>
      <w:r w:rsidR="0098413D">
        <w:t xml:space="preserve">các </w:t>
      </w:r>
      <w:r w:rsidR="00590183">
        <w:t>đơn vị</w:t>
      </w:r>
      <w:r w:rsidR="008D207A">
        <w:t xml:space="preserve">, </w:t>
      </w:r>
      <w:r w:rsidR="0098413D">
        <w:t xml:space="preserve">chủ động </w:t>
      </w:r>
      <w:r w:rsidR="008D207A">
        <w:t>chung tay hướng dẫn bà con nhân dân cài đặt và biết cách sử dụng hiệu quả ứng dụng Bluezone đặc biệt là bà con ở vùng sâu, vùng xa, vùng đồng bào dân tộc thiểu số</w:t>
      </w:r>
      <w:r w:rsidR="008D207A">
        <w:t xml:space="preserve"> </w:t>
      </w:r>
      <w:r w:rsidR="0098413D">
        <w:t xml:space="preserve">với phương châm </w:t>
      </w:r>
      <w:r w:rsidR="00590183">
        <w:t>“Đi tận ngõ, gõ từng nhà</w:t>
      </w:r>
      <w:r w:rsidR="007B2B38">
        <w:t>”</w:t>
      </w:r>
      <w:r w:rsidR="008D207A">
        <w:t>.</w:t>
      </w:r>
    </w:p>
    <w:p w:rsidR="00591B75" w:rsidRDefault="00CD3BEC" w:rsidP="00591B75">
      <w:pPr>
        <w:ind w:firstLine="720"/>
        <w:jc w:val="both"/>
      </w:pPr>
      <w:r>
        <w:lastRenderedPageBreak/>
        <w:t>4</w:t>
      </w:r>
      <w:r w:rsidR="007B2B38">
        <w:t xml:space="preserve">. Phối hợp với bộ phận “Tiếp nhận hồ sơ và trả kết quả” </w:t>
      </w:r>
      <w:r w:rsidR="008D207A">
        <w:t xml:space="preserve">tại các đơn vị </w:t>
      </w:r>
      <w:r w:rsidR="007B2B38">
        <w:t>hướng dẫn cài đặt và sử dụng ứng dụng Bluezone cho 100% người dân (nếu có điện thoại thông minh) khi đến liên hệ công tác, giải quyết các thủ tục hành chính tại bộ phận một cửa.</w:t>
      </w:r>
    </w:p>
    <w:p w:rsidR="00B1710A" w:rsidRDefault="00B1710A" w:rsidP="00591B75">
      <w:pPr>
        <w:ind w:firstLine="720"/>
        <w:jc w:val="both"/>
      </w:pPr>
      <w:r>
        <w:t>5. Tích cực tuyên truyền về tầm quan trọng, ý nghĩa của ứng dụng Bluezone với cộng đồng thông qua các trang thông tin chính thống của đơn vị.</w:t>
      </w:r>
    </w:p>
    <w:p w:rsidR="00B1710A" w:rsidRPr="00B1710A" w:rsidRDefault="00B1710A" w:rsidP="00591B75">
      <w:pPr>
        <w:ind w:firstLine="720"/>
        <w:jc w:val="both"/>
        <w:rPr>
          <w:b/>
          <w:u w:val="single"/>
        </w:rPr>
      </w:pPr>
      <w:r w:rsidRPr="00B1710A">
        <w:rPr>
          <w:b/>
        </w:rPr>
        <w:t>*</w:t>
      </w:r>
      <w:r w:rsidRPr="00B1710A">
        <w:rPr>
          <w:b/>
          <w:u w:val="single"/>
        </w:rPr>
        <w:t>Lưu ý</w:t>
      </w:r>
      <w:r w:rsidRPr="00B1710A">
        <w:rPr>
          <w:b/>
        </w:rPr>
        <w:t xml:space="preserve">: </w:t>
      </w:r>
      <w:r w:rsidR="005A1832">
        <w:t>K</w:t>
      </w:r>
      <w:r w:rsidRPr="005A1832">
        <w:t>ết quả triể</w:t>
      </w:r>
      <w:r w:rsidR="005A1832">
        <w:t xml:space="preserve">n khai, tuyên truyền cài đặt ứng dụng Bluezone các đơn vị báo cáo thành một mục, trong </w:t>
      </w:r>
      <w:r w:rsidRPr="005A1832">
        <w:t xml:space="preserve">báo cáo </w:t>
      </w:r>
      <w:r w:rsidR="005A1832">
        <w:t xml:space="preserve">định kỳ hàng tháng cho </w:t>
      </w:r>
      <w:r w:rsidRPr="005A1832">
        <w:t>đồng chí: Tống Minh Tiến</w:t>
      </w:r>
      <w:r w:rsidR="005A1832">
        <w:t xml:space="preserve"> </w:t>
      </w:r>
      <w:r w:rsidRPr="005A1832">
        <w:t>- CB huyện Đoàn.</w:t>
      </w:r>
      <w:r w:rsidR="005A1832">
        <w:t xml:space="preserve"> Điện thoại: 0345.021.195.</w:t>
      </w:r>
    </w:p>
    <w:p w:rsidR="00590183" w:rsidRPr="005A1832" w:rsidRDefault="00591B75" w:rsidP="005A1832">
      <w:pPr>
        <w:ind w:firstLine="720"/>
        <w:jc w:val="both"/>
        <w:rPr>
          <w:i/>
        </w:rPr>
      </w:pPr>
      <w:r w:rsidRPr="00B1710A">
        <w:rPr>
          <w:i/>
        </w:rPr>
        <w:t>Trên đây là Công văn về việc T</w:t>
      </w:r>
      <w:r w:rsidRPr="00B1710A">
        <w:rPr>
          <w:i/>
        </w:rPr>
        <w:t>iếp tục đẩy mạnh triển khai, tuyên truyền cài đặt ứng dụng Bluezone</w:t>
      </w:r>
      <w:r w:rsidR="00B1710A" w:rsidRPr="00B1710A">
        <w:rPr>
          <w:i/>
        </w:rPr>
        <w:t xml:space="preserve"> của BTV huyện Đoàn. Đề nghị các đơn vị nghiêm túc triển khai, thực hiện có hiệu quả, chung tay đẩy lùi dịch bệ</w:t>
      </w:r>
      <w:r w:rsidR="005A1832">
        <w:rPr>
          <w:i/>
        </w:rPr>
        <w:t>nh.</w:t>
      </w:r>
    </w:p>
    <w:tbl>
      <w:tblPr>
        <w:tblW w:w="10467" w:type="dxa"/>
        <w:tblInd w:w="-176" w:type="dxa"/>
        <w:tblLook w:val="01E0" w:firstRow="1" w:lastRow="1" w:firstColumn="1" w:lastColumn="1" w:noHBand="0" w:noVBand="0"/>
      </w:tblPr>
      <w:tblGrid>
        <w:gridCol w:w="4124"/>
        <w:gridCol w:w="6343"/>
      </w:tblGrid>
      <w:tr w:rsidR="00590183" w:rsidTr="00EB1D4B">
        <w:trPr>
          <w:trHeight w:val="2680"/>
        </w:trPr>
        <w:tc>
          <w:tcPr>
            <w:tcW w:w="4124" w:type="dxa"/>
          </w:tcPr>
          <w:p w:rsidR="00590183" w:rsidRPr="00590183" w:rsidRDefault="00590183" w:rsidP="00EB1D4B">
            <w:pPr>
              <w:tabs>
                <w:tab w:val="left" w:pos="670"/>
              </w:tabs>
              <w:spacing w:before="120" w:after="120"/>
              <w:rPr>
                <w:b/>
                <w:szCs w:val="28"/>
              </w:rPr>
            </w:pPr>
            <w:bookmarkStart w:id="0" w:name="_GoBack"/>
            <w:r w:rsidRPr="00590183">
              <w:rPr>
                <w:b/>
                <w:szCs w:val="28"/>
              </w:rPr>
              <w:t>Nơi nhận:</w:t>
            </w:r>
          </w:p>
          <w:p w:rsidR="00590183" w:rsidRPr="00590183" w:rsidRDefault="00590183" w:rsidP="00EB1D4B">
            <w:pPr>
              <w:tabs>
                <w:tab w:val="left" w:pos="670"/>
              </w:tabs>
              <w:spacing w:before="120" w:after="120" w:line="240" w:lineRule="auto"/>
              <w:rPr>
                <w:sz w:val="26"/>
                <w:szCs w:val="26"/>
              </w:rPr>
            </w:pPr>
            <w:r w:rsidRPr="00590183">
              <w:rPr>
                <w:sz w:val="26"/>
                <w:szCs w:val="26"/>
              </w:rPr>
              <w:t>- Như Kính gửi;</w:t>
            </w:r>
          </w:p>
          <w:p w:rsidR="00590183" w:rsidRPr="00590183" w:rsidRDefault="00590183" w:rsidP="00EB1D4B">
            <w:pPr>
              <w:tabs>
                <w:tab w:val="left" w:pos="670"/>
              </w:tabs>
              <w:spacing w:before="120" w:after="120" w:line="240" w:lineRule="auto"/>
              <w:rPr>
                <w:sz w:val="26"/>
                <w:szCs w:val="26"/>
              </w:rPr>
            </w:pPr>
            <w:r w:rsidRPr="00590183">
              <w:rPr>
                <w:sz w:val="26"/>
                <w:szCs w:val="26"/>
              </w:rPr>
              <w:t>- Lưu Vp.</w:t>
            </w:r>
          </w:p>
          <w:bookmarkEnd w:id="0"/>
          <w:p w:rsidR="00590183" w:rsidRDefault="00590183" w:rsidP="00EB1D4B">
            <w:pPr>
              <w:tabs>
                <w:tab w:val="left" w:pos="670"/>
              </w:tabs>
              <w:spacing w:before="120" w:after="120"/>
              <w:jc w:val="center"/>
            </w:pPr>
          </w:p>
        </w:tc>
        <w:tc>
          <w:tcPr>
            <w:tcW w:w="6343" w:type="dxa"/>
          </w:tcPr>
          <w:p w:rsidR="00590183" w:rsidRPr="006F2036" w:rsidRDefault="00590183" w:rsidP="00EB1D4B">
            <w:pPr>
              <w:tabs>
                <w:tab w:val="left" w:pos="670"/>
              </w:tabs>
              <w:spacing w:before="120" w:after="120"/>
              <w:jc w:val="center"/>
              <w:rPr>
                <w:b/>
                <w:szCs w:val="28"/>
              </w:rPr>
            </w:pPr>
            <w:r w:rsidRPr="006F2036">
              <w:rPr>
                <w:b/>
                <w:szCs w:val="28"/>
              </w:rPr>
              <w:t xml:space="preserve">TM. BAN THƯỜNG VỤ </w:t>
            </w:r>
            <w:r>
              <w:rPr>
                <w:b/>
                <w:szCs w:val="28"/>
              </w:rPr>
              <w:t>HUYỆN ĐOÀN</w:t>
            </w:r>
          </w:p>
          <w:p w:rsidR="00590183" w:rsidRPr="006F2036" w:rsidRDefault="00590183" w:rsidP="00EB1D4B">
            <w:pPr>
              <w:tabs>
                <w:tab w:val="left" w:pos="670"/>
              </w:tabs>
              <w:spacing w:before="120" w:after="120"/>
              <w:jc w:val="center"/>
              <w:rPr>
                <w:szCs w:val="28"/>
              </w:rPr>
            </w:pPr>
            <w:r w:rsidRPr="006F2036">
              <w:rPr>
                <w:szCs w:val="28"/>
              </w:rPr>
              <w:t>BÍ THƯ</w:t>
            </w:r>
          </w:p>
          <w:p w:rsidR="00590183" w:rsidRPr="006F2036" w:rsidRDefault="00590183" w:rsidP="00EB1D4B">
            <w:pPr>
              <w:tabs>
                <w:tab w:val="left" w:pos="670"/>
              </w:tabs>
              <w:spacing w:before="120" w:after="120"/>
              <w:jc w:val="center"/>
              <w:rPr>
                <w:b/>
              </w:rPr>
            </w:pPr>
          </w:p>
          <w:p w:rsidR="00590183" w:rsidRPr="002310CE" w:rsidRDefault="00590183" w:rsidP="00EB1D4B">
            <w:pPr>
              <w:tabs>
                <w:tab w:val="left" w:pos="670"/>
              </w:tabs>
              <w:spacing w:before="120" w:after="120"/>
              <w:jc w:val="center"/>
              <w:rPr>
                <w:i/>
                <w:sz w:val="26"/>
                <w:szCs w:val="26"/>
              </w:rPr>
            </w:pPr>
            <w:r w:rsidRPr="002310CE">
              <w:rPr>
                <w:i/>
                <w:sz w:val="26"/>
                <w:szCs w:val="26"/>
              </w:rPr>
              <w:t>(Đã ký)</w:t>
            </w:r>
          </w:p>
          <w:p w:rsidR="00590183" w:rsidRDefault="00590183" w:rsidP="00EB1D4B">
            <w:pPr>
              <w:tabs>
                <w:tab w:val="left" w:pos="670"/>
              </w:tabs>
              <w:spacing w:before="120" w:after="120"/>
              <w:jc w:val="center"/>
              <w:rPr>
                <w:b/>
                <w:szCs w:val="28"/>
              </w:rPr>
            </w:pPr>
          </w:p>
          <w:p w:rsidR="00590183" w:rsidRPr="006F2036" w:rsidRDefault="00590183" w:rsidP="00EB1D4B">
            <w:pPr>
              <w:tabs>
                <w:tab w:val="left" w:pos="670"/>
              </w:tabs>
              <w:spacing w:before="120" w:after="120"/>
              <w:jc w:val="center"/>
              <w:rPr>
                <w:szCs w:val="28"/>
              </w:rPr>
            </w:pPr>
            <w:r>
              <w:rPr>
                <w:b/>
                <w:szCs w:val="28"/>
              </w:rPr>
              <w:t>Đào Thị Quế</w:t>
            </w:r>
          </w:p>
        </w:tc>
      </w:tr>
      <w:tr w:rsidR="00590183" w:rsidTr="00EB1D4B">
        <w:trPr>
          <w:trHeight w:val="544"/>
        </w:trPr>
        <w:tc>
          <w:tcPr>
            <w:tcW w:w="4124" w:type="dxa"/>
          </w:tcPr>
          <w:p w:rsidR="00590183" w:rsidRPr="006F2036" w:rsidRDefault="00590183" w:rsidP="00054715">
            <w:pPr>
              <w:tabs>
                <w:tab w:val="left" w:pos="670"/>
              </w:tabs>
              <w:spacing w:before="120" w:after="120"/>
              <w:jc w:val="both"/>
              <w:rPr>
                <w:b/>
              </w:rPr>
            </w:pPr>
          </w:p>
        </w:tc>
        <w:tc>
          <w:tcPr>
            <w:tcW w:w="6343" w:type="dxa"/>
          </w:tcPr>
          <w:p w:rsidR="00590183" w:rsidRPr="006F2036" w:rsidRDefault="00590183" w:rsidP="00054715">
            <w:pPr>
              <w:tabs>
                <w:tab w:val="left" w:pos="670"/>
              </w:tabs>
              <w:spacing w:before="120" w:after="120"/>
              <w:rPr>
                <w:b/>
                <w:szCs w:val="28"/>
              </w:rPr>
            </w:pPr>
          </w:p>
        </w:tc>
      </w:tr>
    </w:tbl>
    <w:p w:rsidR="008747C1" w:rsidRDefault="008747C1" w:rsidP="008747C1">
      <w:pPr>
        <w:ind w:firstLine="720"/>
        <w:jc w:val="both"/>
      </w:pPr>
    </w:p>
    <w:sectPr w:rsidR="008747C1" w:rsidSect="00E2039A">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226C"/>
    <w:multiLevelType w:val="hybridMultilevel"/>
    <w:tmpl w:val="12EAD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862AE3"/>
    <w:multiLevelType w:val="hybridMultilevel"/>
    <w:tmpl w:val="3A9A915A"/>
    <w:lvl w:ilvl="0" w:tplc="A0961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A557B9"/>
    <w:multiLevelType w:val="hybridMultilevel"/>
    <w:tmpl w:val="FC18B6DC"/>
    <w:lvl w:ilvl="0" w:tplc="00146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9E53455"/>
    <w:multiLevelType w:val="hybridMultilevel"/>
    <w:tmpl w:val="AF8C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68"/>
    <w:rsid w:val="002F7726"/>
    <w:rsid w:val="00401415"/>
    <w:rsid w:val="00580098"/>
    <w:rsid w:val="00590183"/>
    <w:rsid w:val="00591B75"/>
    <w:rsid w:val="005A1832"/>
    <w:rsid w:val="007B2B38"/>
    <w:rsid w:val="008747C1"/>
    <w:rsid w:val="008D207A"/>
    <w:rsid w:val="008F5D3B"/>
    <w:rsid w:val="00965BD8"/>
    <w:rsid w:val="0098413D"/>
    <w:rsid w:val="00B1710A"/>
    <w:rsid w:val="00CD3BEC"/>
    <w:rsid w:val="00E2039A"/>
    <w:rsid w:val="00E552C1"/>
    <w:rsid w:val="00EB1D4B"/>
    <w:rsid w:val="00FB5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0183"/>
    <w:pPr>
      <w:ind w:left="720"/>
      <w:contextualSpacing/>
    </w:pPr>
  </w:style>
  <w:style w:type="character" w:styleId="Hyperlink">
    <w:name w:val="Hyperlink"/>
    <w:basedOn w:val="DefaultParagraphFont"/>
    <w:uiPriority w:val="99"/>
    <w:unhideWhenUsed/>
    <w:rsid w:val="005901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0183"/>
    <w:pPr>
      <w:ind w:left="720"/>
      <w:contextualSpacing/>
    </w:pPr>
  </w:style>
  <w:style w:type="character" w:styleId="Hyperlink">
    <w:name w:val="Hyperlink"/>
    <w:basedOn w:val="DefaultParagraphFont"/>
    <w:uiPriority w:val="99"/>
    <w:unhideWhenUsed/>
    <w:rsid w:val="005901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372405">
      <w:bodyDiv w:val="1"/>
      <w:marLeft w:val="0"/>
      <w:marRight w:val="0"/>
      <w:marTop w:val="0"/>
      <w:marBottom w:val="0"/>
      <w:divBdr>
        <w:top w:val="none" w:sz="0" w:space="0" w:color="auto"/>
        <w:left w:val="none" w:sz="0" w:space="0" w:color="auto"/>
        <w:bottom w:val="none" w:sz="0" w:space="0" w:color="auto"/>
        <w:right w:val="none" w:sz="0" w:space="0" w:color="auto"/>
      </w:divBdr>
    </w:div>
    <w:div w:id="171418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uezone.gov.vn/tai-li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chipcomputer</dc:creator>
  <cp:lastModifiedBy>chipcomputer</cp:lastModifiedBy>
  <cp:revision>5</cp:revision>
  <dcterms:created xsi:type="dcterms:W3CDTF">2020-09-18T07:55:00Z</dcterms:created>
  <dcterms:modified xsi:type="dcterms:W3CDTF">2020-09-18T07:57:00Z</dcterms:modified>
</cp:coreProperties>
</file>